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6D" w:rsidRDefault="001C7D6D" w:rsidP="000730CB">
      <w:pPr>
        <w:tabs>
          <w:tab w:val="left" w:pos="3717"/>
        </w:tabs>
        <w:spacing w:after="0"/>
        <w:rPr>
          <w:rFonts w:ascii="Times New Roman" w:hAnsi="Times New Roman"/>
          <w:u w:val="single"/>
        </w:rPr>
      </w:pPr>
      <w:r w:rsidRPr="001C7D6D">
        <w:rPr>
          <w:rFonts w:ascii="Times New Roman" w:hAnsi="Times New Roman"/>
          <w:u w:val="single"/>
        </w:rPr>
        <w:t>Numerical Modelling</w:t>
      </w:r>
    </w:p>
    <w:p w:rsidR="00CF61A2" w:rsidRDefault="00B2534C" w:rsidP="00B253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CF61A2" w:rsidRPr="005D4AB8">
        <w:rPr>
          <w:rFonts w:ascii="Times New Roman" w:hAnsi="Times New Roman"/>
        </w:rPr>
        <w:t xml:space="preserve"> numerical model </w:t>
      </w:r>
      <w:r>
        <w:rPr>
          <w:rFonts w:ascii="Times New Roman" w:hAnsi="Times New Roman"/>
        </w:rPr>
        <w:t>represents the skeleton of the project</w:t>
      </w:r>
      <w:r w:rsidR="00CF61A2" w:rsidRPr="005D4AB8">
        <w:rPr>
          <w:rFonts w:ascii="Times New Roman" w:hAnsi="Times New Roman"/>
        </w:rPr>
        <w:t xml:space="preserve"> a</w:t>
      </w:r>
      <w:r w:rsidR="00CF61A2" w:rsidRPr="00CF61A2">
        <w:rPr>
          <w:rFonts w:ascii="Times New Roman" w:hAnsi="Times New Roman"/>
        </w:rPr>
        <w:t xml:space="preserve">s it will allow the computer software to </w:t>
      </w:r>
      <w:r w:rsidR="000730CB" w:rsidRPr="00CF61A2">
        <w:rPr>
          <w:rFonts w:ascii="Times New Roman" w:hAnsi="Times New Roman"/>
        </w:rPr>
        <w:t>assess</w:t>
      </w:r>
      <w:r w:rsidR="00CF61A2" w:rsidRPr="00CF61A2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>behaviour of gas in the formation</w:t>
      </w:r>
      <w:r w:rsidR="009A4334">
        <w:rPr>
          <w:rFonts w:ascii="Times New Roman" w:hAnsi="Times New Roman"/>
        </w:rPr>
        <w:t>. Simply speaking, the numerical model is a mathematical expression relating the various reservoir parameters to the flow behaviour. Absorption, matrix shrinkage, and anisotropy are typically encountered in a coal seam reservoir and consequently the model will be designed to take them into account</w:t>
      </w:r>
      <w:r w:rsidR="00CF61A2" w:rsidRPr="00CF61A2">
        <w:rPr>
          <w:rFonts w:ascii="Times New Roman" w:hAnsi="Times New Roman"/>
        </w:rPr>
        <w:t xml:space="preserve">. </w:t>
      </w:r>
    </w:p>
    <w:p w:rsidR="002F59E3" w:rsidRDefault="002F59E3" w:rsidP="00B2534C">
      <w:pPr>
        <w:spacing w:after="0"/>
        <w:rPr>
          <w:rFonts w:ascii="Times New Roman" w:hAnsi="Times New Roman"/>
        </w:rPr>
      </w:pPr>
    </w:p>
    <w:p w:rsidR="00E17904" w:rsidRDefault="00936239" w:rsidP="001C7D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dual porosity </w:t>
      </w:r>
      <w:proofErr w:type="gramStart"/>
      <w:r>
        <w:rPr>
          <w:rFonts w:ascii="Times New Roman" w:hAnsi="Times New Roman"/>
        </w:rPr>
        <w:t>nature of the model require</w:t>
      </w:r>
      <w:proofErr w:type="gramEnd"/>
      <w:r>
        <w:rPr>
          <w:rFonts w:ascii="Times New Roman" w:hAnsi="Times New Roman"/>
        </w:rPr>
        <w:t xml:space="preserve"> us to define two systems</w:t>
      </w:r>
      <w:r w:rsidR="00E1790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one for </w:t>
      </w:r>
      <w:r w:rsidR="00E17904">
        <w:rPr>
          <w:rFonts w:ascii="Times New Roman" w:hAnsi="Times New Roman"/>
        </w:rPr>
        <w:t xml:space="preserve">the matrix and </w:t>
      </w:r>
      <w:r>
        <w:rPr>
          <w:rFonts w:ascii="Times New Roman" w:hAnsi="Times New Roman"/>
        </w:rPr>
        <w:t>another for the fractures or cleats</w:t>
      </w:r>
      <w:r w:rsidR="00E17904">
        <w:rPr>
          <w:rFonts w:ascii="Times New Roman" w:hAnsi="Times New Roman"/>
        </w:rPr>
        <w:t>. Assuming single phase gas flow, the material balance equation for both systems looks as such:</w:t>
      </w:r>
    </w:p>
    <w:p w:rsidR="00E17904" w:rsidRDefault="00E17904" w:rsidP="001C7D6D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08"/>
      </w:tblGrid>
      <w:tr w:rsidR="00D85939" w:rsidTr="00D85939">
        <w:tc>
          <w:tcPr>
            <w:tcW w:w="8472" w:type="dxa"/>
          </w:tcPr>
          <w:p w:rsidR="00D85939" w:rsidRPr="00D85939" w:rsidRDefault="00C057F5" w:rsidP="004B4C66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808" w:type="dxa"/>
            <w:vAlign w:val="center"/>
          </w:tcPr>
          <w:p w:rsidR="00D85939" w:rsidRDefault="00D85939" w:rsidP="00D859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</w:tr>
      <w:tr w:rsidR="00D85939" w:rsidTr="00D85939">
        <w:tc>
          <w:tcPr>
            <w:tcW w:w="8472" w:type="dxa"/>
          </w:tcPr>
          <w:p w:rsidR="00D85939" w:rsidRPr="00D85939" w:rsidRDefault="00C057F5" w:rsidP="004B4C66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808" w:type="dxa"/>
            <w:vAlign w:val="center"/>
          </w:tcPr>
          <w:p w:rsidR="00D85939" w:rsidRDefault="00D85939" w:rsidP="00D859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</w:tr>
    </w:tbl>
    <w:p w:rsidR="00D85939" w:rsidRDefault="00D85939" w:rsidP="00E17904">
      <w:pPr>
        <w:spacing w:after="0"/>
        <w:rPr>
          <w:rFonts w:ascii="Times New Roman" w:hAnsi="Times New Roman"/>
        </w:rPr>
      </w:pPr>
    </w:p>
    <w:p w:rsidR="00D85939" w:rsidRDefault="00D85939" w:rsidP="00E179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 </w:t>
      </w:r>
      <m:oMath>
        <m:r>
          <w:rPr>
            <w:rFonts w:ascii="Cambria Math" w:hAnsi="Cambria Math"/>
          </w:rPr>
          <m:t>ϕ</m:t>
        </m:r>
      </m:oMath>
      <w:r>
        <w:rPr>
          <w:rFonts w:ascii="Times New Roman" w:hAnsi="Times New Roman"/>
        </w:rPr>
        <w:t xml:space="preserve"> is the porosity of the system, </w:t>
      </w:r>
      <m:oMath>
        <m:r>
          <w:rPr>
            <w:rFonts w:ascii="Cambria Math" w:hAnsi="Cambria Math"/>
          </w:rPr>
          <m:t>ρ</m:t>
        </m:r>
      </m:oMath>
      <w:r>
        <w:rPr>
          <w:rFonts w:ascii="Times New Roman" w:hAnsi="Times New Roman"/>
        </w:rPr>
        <w:t xml:space="preserve"> is the density of the gas,</w:t>
      </w:r>
      <w:r w:rsidR="003C4020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ϕρ</m:t>
        </m:r>
      </m:oMath>
      <w:r>
        <w:rPr>
          <w:rFonts w:ascii="Times New Roman" w:hAnsi="Times New Roman"/>
        </w:rPr>
        <w:t xml:space="preserve"> </w:t>
      </w:r>
      <w:r w:rsidR="003C4020">
        <w:rPr>
          <w:rFonts w:ascii="Times New Roman" w:hAnsi="Times New Roman"/>
        </w:rPr>
        <w:t>represent</w:t>
      </w:r>
      <w:r w:rsidR="00936239">
        <w:rPr>
          <w:rFonts w:ascii="Times New Roman" w:hAnsi="Times New Roman"/>
        </w:rPr>
        <w:t>s</w:t>
      </w:r>
      <w:r w:rsidR="003C4020">
        <w:rPr>
          <w:rFonts w:ascii="Times New Roman" w:hAnsi="Times New Roman"/>
        </w:rPr>
        <w:t xml:space="preserve"> the storage term, </w:t>
      </w:r>
      <m:oMath>
        <m:r>
          <w:rPr>
            <w:rFonts w:ascii="Cambria Math" w:hAnsi="Cambria Math"/>
          </w:rPr>
          <m:t>q</m:t>
        </m:r>
      </m:oMath>
      <w:r w:rsidR="003111E8">
        <w:rPr>
          <w:rFonts w:ascii="Times New Roman" w:hAnsi="Times New Roman"/>
        </w:rPr>
        <w:t xml:space="preserve"> </w:t>
      </w:r>
      <w:r w:rsidR="003C4020">
        <w:rPr>
          <w:rFonts w:ascii="Times New Roman" w:hAnsi="Times New Roman"/>
        </w:rPr>
        <w:t xml:space="preserve">represents the gas </w:t>
      </w:r>
      <w:r w:rsidR="00936239">
        <w:rPr>
          <w:rFonts w:ascii="Times New Roman" w:hAnsi="Times New Roman"/>
        </w:rPr>
        <w:t>flow rate</w:t>
      </w:r>
      <w:r w:rsidR="003111E8">
        <w:rPr>
          <w:rFonts w:ascii="Times New Roman" w:hAnsi="Times New Roman"/>
        </w:rPr>
        <w:t xml:space="preserve">, </w:t>
      </w:r>
      <m:oMath>
        <m:r>
          <w:rPr>
            <w:rFonts w:ascii="Cambria Math" w:hAnsi="Cambria Math"/>
          </w:rPr>
          <m:t>k</m:t>
        </m:r>
      </m:oMath>
      <w:r w:rsidR="003C40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is the permeability of the system, </w:t>
      </w:r>
      <m:oMath>
        <m:r>
          <w:rPr>
            <w:rFonts w:ascii="Cambria Math" w:hAnsi="Cambria Math"/>
          </w:rPr>
          <m:t>μ</m:t>
        </m:r>
      </m:oMath>
      <w:r>
        <w:rPr>
          <w:rFonts w:ascii="Times New Roman" w:hAnsi="Times New Roman"/>
        </w:rPr>
        <w:t xml:space="preserve"> is the viscocity of the gas, </w:t>
      </w:r>
      <m:oMath>
        <m:r>
          <w:rPr>
            <w:rFonts w:ascii="Cambria Math" w:hAnsi="Cambria Math"/>
          </w:rPr>
          <m:t>p</m:t>
        </m:r>
      </m:oMath>
      <w:r>
        <w:rPr>
          <w:rFonts w:ascii="Times New Roman" w:hAnsi="Times New Roman"/>
        </w:rPr>
        <w:t xml:space="preserve"> is the pressure of the system,</w:t>
      </w:r>
      <w:r w:rsidR="004B4C66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4B4C66">
        <w:rPr>
          <w:rFonts w:ascii="Times New Roman" w:hAnsi="Times New Roman"/>
        </w:rPr>
        <w:t xml:space="preserve"> represents the exchange term between the two systems, and the subscripts f</w:t>
      </w:r>
      <w:r>
        <w:rPr>
          <w:rFonts w:ascii="Times New Roman" w:hAnsi="Times New Roman"/>
        </w:rPr>
        <w:t xml:space="preserve"> and m represent the fracture and matrix systems respectively.</w:t>
      </w:r>
    </w:p>
    <w:p w:rsidR="00D85939" w:rsidRDefault="00D85939" w:rsidP="00E17904">
      <w:pPr>
        <w:spacing w:after="0"/>
        <w:rPr>
          <w:rFonts w:ascii="Times New Roman" w:hAnsi="Times New Roman"/>
        </w:rPr>
      </w:pPr>
    </w:p>
    <w:p w:rsidR="003C4020" w:rsidRDefault="003C4020" w:rsidP="00E179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matrix system has the peculiarity of having a high storage capacity but almost negligible permeability. For this reason, any flow within the matrix is very small or even negligible</w:t>
      </w:r>
      <w:r w:rsidR="00DC0EC4">
        <w:rPr>
          <w:rFonts w:ascii="Times New Roman" w:hAnsi="Times New Roman"/>
        </w:rPr>
        <w:t xml:space="preserve"> (</w:t>
      </w:r>
      <w:proofErr w:type="spellStart"/>
      <w:r w:rsidR="00DC0EC4">
        <w:rPr>
          <w:rFonts w:ascii="Times New Roman" w:hAnsi="Times New Roman"/>
        </w:rPr>
        <w:t>Barenblatt</w:t>
      </w:r>
      <w:proofErr w:type="spellEnd"/>
      <w:r w:rsidR="00DC0EC4">
        <w:rPr>
          <w:rFonts w:ascii="Times New Roman" w:hAnsi="Times New Roman"/>
        </w:rPr>
        <w:t xml:space="preserve"> et </w:t>
      </w:r>
      <w:r w:rsidR="00251572">
        <w:rPr>
          <w:rFonts w:ascii="Times New Roman" w:hAnsi="Times New Roman"/>
        </w:rPr>
        <w:t>al.</w:t>
      </w:r>
      <w:r w:rsidR="00DC0EC4">
        <w:rPr>
          <w:rFonts w:ascii="Times New Roman" w:hAnsi="Times New Roman"/>
        </w:rPr>
        <w:t xml:space="preserve"> 1960; Gilman et </w:t>
      </w:r>
      <w:r w:rsidR="00251572">
        <w:rPr>
          <w:rFonts w:ascii="Times New Roman" w:hAnsi="Times New Roman"/>
        </w:rPr>
        <w:t>al.</w:t>
      </w:r>
      <w:r w:rsidR="00DC0EC4">
        <w:rPr>
          <w:rFonts w:ascii="Times New Roman" w:hAnsi="Times New Roman"/>
        </w:rPr>
        <w:t xml:space="preserve"> 2000; </w:t>
      </w:r>
      <w:proofErr w:type="spellStart"/>
      <w:r w:rsidR="00DC0EC4">
        <w:rPr>
          <w:rFonts w:ascii="Times New Roman" w:hAnsi="Times New Roman"/>
        </w:rPr>
        <w:t>Kazemi</w:t>
      </w:r>
      <w:proofErr w:type="spellEnd"/>
      <w:r w:rsidR="00DC0EC4">
        <w:rPr>
          <w:rFonts w:ascii="Times New Roman" w:hAnsi="Times New Roman"/>
        </w:rPr>
        <w:t xml:space="preserve"> et </w:t>
      </w:r>
      <w:r w:rsidR="00251572">
        <w:rPr>
          <w:rFonts w:ascii="Times New Roman" w:hAnsi="Times New Roman"/>
        </w:rPr>
        <w:t>al.</w:t>
      </w:r>
      <w:r w:rsidR="00DC0EC4">
        <w:rPr>
          <w:rFonts w:ascii="Times New Roman" w:hAnsi="Times New Roman"/>
        </w:rPr>
        <w:t xml:space="preserve"> 1969)</w:t>
      </w:r>
      <w:r>
        <w:rPr>
          <w:rFonts w:ascii="Times New Roman" w:hAnsi="Times New Roman"/>
        </w:rPr>
        <w:t>. Ignoring the internal flow we can simplify equation 2 by eliminating the flow term as such</w:t>
      </w:r>
    </w:p>
    <w:p w:rsidR="003C4020" w:rsidRDefault="003C4020" w:rsidP="00E17904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08"/>
      </w:tblGrid>
      <w:tr w:rsidR="003C4020" w:rsidTr="003C4020">
        <w:tc>
          <w:tcPr>
            <w:tcW w:w="8472" w:type="dxa"/>
          </w:tcPr>
          <w:p w:rsidR="003C4020" w:rsidRPr="003C4020" w:rsidRDefault="00C057F5" w:rsidP="003C4020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∅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808" w:type="dxa"/>
            <w:vAlign w:val="center"/>
          </w:tcPr>
          <w:p w:rsidR="003C4020" w:rsidRDefault="003C4020" w:rsidP="003C40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</w:tr>
    </w:tbl>
    <w:p w:rsidR="00E17904" w:rsidRPr="00E17904" w:rsidRDefault="003C4020" w:rsidP="001C7D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17904" w:rsidRDefault="003111E8" w:rsidP="001C7D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Now, taking into consideration the </w:t>
      </w:r>
      <w:proofErr w:type="spellStart"/>
      <w:r>
        <w:rPr>
          <w:rFonts w:ascii="Times New Roman" w:hAnsi="Times New Roman"/>
        </w:rPr>
        <w:t>Klinkernberg’s</w:t>
      </w:r>
      <w:proofErr w:type="spellEnd"/>
      <w:r>
        <w:rPr>
          <w:rFonts w:ascii="Times New Roman" w:hAnsi="Times New Roman"/>
        </w:rPr>
        <w:t xml:space="preserve"> effect, the gas flow rate on equation</w:t>
      </w:r>
      <w:r w:rsidR="00090890">
        <w:rPr>
          <w:rFonts w:ascii="Times New Roman" w:hAnsi="Times New Roman"/>
        </w:rPr>
        <w:t xml:space="preserve"> (1) is given by</w:t>
      </w:r>
      <w:r w:rsidR="00936239">
        <w:rPr>
          <w:rFonts w:ascii="Times New Roman" w:hAnsi="Times New Roman"/>
        </w:rPr>
        <w:t xml:space="preserve"> </w:t>
      </w:r>
      <w:proofErr w:type="spellStart"/>
      <w:r w:rsidR="00936239">
        <w:rPr>
          <w:rFonts w:ascii="Times New Roman" w:hAnsi="Times New Roman"/>
        </w:rPr>
        <w:t>Turgay</w:t>
      </w:r>
      <w:proofErr w:type="spellEnd"/>
      <w:r w:rsidR="00936239">
        <w:rPr>
          <w:rFonts w:ascii="Times New Roman" w:hAnsi="Times New Roman"/>
        </w:rPr>
        <w:t xml:space="preserve"> </w:t>
      </w:r>
      <w:r w:rsidR="004B4C66">
        <w:rPr>
          <w:rFonts w:ascii="Times New Roman" w:hAnsi="Times New Roman"/>
        </w:rPr>
        <w:t xml:space="preserve">et al </w:t>
      </w:r>
      <w:r w:rsidR="00936239">
        <w:rPr>
          <w:rFonts w:ascii="Times New Roman" w:hAnsi="Times New Roman"/>
        </w:rPr>
        <w:t xml:space="preserve">on </w:t>
      </w:r>
      <w:r w:rsidR="004B4C66">
        <w:rPr>
          <w:rFonts w:ascii="Times New Roman" w:hAnsi="Times New Roman"/>
        </w:rPr>
        <w:t>their</w:t>
      </w:r>
      <w:r w:rsidR="00936239">
        <w:rPr>
          <w:rFonts w:ascii="Times New Roman" w:hAnsi="Times New Roman"/>
        </w:rPr>
        <w:t xml:space="preserve"> study</w:t>
      </w:r>
      <w:r w:rsidR="004B4C66">
        <w:rPr>
          <w:rFonts w:ascii="Times New Roman" w:hAnsi="Times New Roman"/>
        </w:rPr>
        <w:t xml:space="preserve"> (1986) </w:t>
      </w:r>
      <w:r w:rsidR="00936239">
        <w:rPr>
          <w:rFonts w:ascii="Times New Roman" w:hAnsi="Times New Roman"/>
        </w:rPr>
        <w:t>as:</w:t>
      </w:r>
      <w:r w:rsidR="00090890">
        <w:rPr>
          <w:rFonts w:ascii="Times New Roman" w:hAnsi="Times New Roman"/>
        </w:rPr>
        <w:t xml:space="preserve"> </w:t>
      </w:r>
    </w:p>
    <w:p w:rsidR="003111E8" w:rsidRDefault="003111E8" w:rsidP="001C7D6D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08"/>
      </w:tblGrid>
      <w:tr w:rsidR="003111E8" w:rsidTr="003111E8">
        <w:tc>
          <w:tcPr>
            <w:tcW w:w="8472" w:type="dxa"/>
          </w:tcPr>
          <w:p w:rsidR="003111E8" w:rsidRPr="003111E8" w:rsidRDefault="003111E8" w:rsidP="003111E8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q=-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μ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808" w:type="dxa"/>
            <w:vAlign w:val="center"/>
          </w:tcPr>
          <w:p w:rsidR="003111E8" w:rsidRDefault="003111E8" w:rsidP="003111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</w:tr>
      <w:tr w:rsidR="003111E8" w:rsidTr="003111E8">
        <w:tc>
          <w:tcPr>
            <w:tcW w:w="8472" w:type="dxa"/>
          </w:tcPr>
          <w:p w:rsidR="003111E8" w:rsidRPr="003111E8" w:rsidRDefault="00C057F5" w:rsidP="003111E8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=k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808" w:type="dxa"/>
            <w:vAlign w:val="center"/>
          </w:tcPr>
          <w:p w:rsidR="003111E8" w:rsidRDefault="003111E8" w:rsidP="003111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</w:tr>
    </w:tbl>
    <w:p w:rsidR="003111E8" w:rsidRDefault="003111E8" w:rsidP="001C7D6D">
      <w:pPr>
        <w:spacing w:after="0"/>
        <w:rPr>
          <w:rFonts w:ascii="Times New Roman" w:hAnsi="Times New Roman"/>
        </w:rPr>
      </w:pPr>
    </w:p>
    <w:p w:rsidR="00936239" w:rsidRDefault="003111E8" w:rsidP="00936239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Where </w:t>
      </w:r>
      <m:oMath>
        <m:r>
          <w:rPr>
            <w:rFonts w:ascii="Cambria Math" w:hAnsi="Cambria Math"/>
          </w:rPr>
          <m:t>k</m:t>
        </m:r>
      </m:oMath>
      <w:r>
        <w:rPr>
          <w:rFonts w:ascii="Times New Roman" w:hAnsi="Times New Roman"/>
        </w:rPr>
        <w:t xml:space="preserve"> i</w:t>
      </w:r>
      <w:r w:rsidR="004B4C66">
        <w:rPr>
          <w:rFonts w:ascii="Times New Roman" w:hAnsi="Times New Roman"/>
        </w:rPr>
        <w:t>s the absolute permeability,</w:t>
      </w:r>
      <w:r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rPr>
          <w:rFonts w:ascii="Times New Roman" w:hAnsi="Times New Roman"/>
        </w:rPr>
        <w:t xml:space="preserve"> is the </w:t>
      </w:r>
      <w:proofErr w:type="spellStart"/>
      <w:r>
        <w:rPr>
          <w:rFonts w:ascii="Times New Roman" w:hAnsi="Times New Roman"/>
        </w:rPr>
        <w:t>Klinkenberg’s</w:t>
      </w:r>
      <w:proofErr w:type="spellEnd"/>
      <w:r>
        <w:rPr>
          <w:rFonts w:ascii="Times New Roman" w:hAnsi="Times New Roman"/>
        </w:rPr>
        <w:t xml:space="preserve"> coefficient</w:t>
      </w:r>
      <w:r w:rsidR="004B4C66">
        <w:rPr>
          <w:rFonts w:ascii="Times New Roman" w:hAnsi="Times New Roman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4B4C66">
        <w:rPr>
          <w:rFonts w:ascii="Times New Roman" w:hAnsi="Times New Roman"/>
        </w:rPr>
        <w:t xml:space="preserve"> represents the pressure in the fracture system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="00936239">
        <w:rPr>
          <w:rFonts w:ascii="Times New Roman" w:hAnsi="Times New Roman"/>
        </w:rPr>
        <w:t xml:space="preserve">On a coal seam gas reservoir, however, the permeability </w:t>
      </w:r>
      <m:oMath>
        <m:r>
          <w:rPr>
            <w:rFonts w:ascii="Cambria Math" w:hAnsi="Cambria Math"/>
          </w:rPr>
          <m:t>k</m:t>
        </m:r>
      </m:oMath>
      <w:r w:rsidR="00936239">
        <w:rPr>
          <w:rFonts w:ascii="Times New Roman" w:hAnsi="Times New Roman"/>
        </w:rPr>
        <w:t xml:space="preserve"> is not constant. Cleat permeability may change due to gas desorption and as a response to decreasing gas pressures. Taking into account these two factors, Gilman et </w:t>
      </w:r>
      <w:r w:rsidR="00251572">
        <w:rPr>
          <w:rFonts w:ascii="Times New Roman" w:hAnsi="Times New Roman"/>
        </w:rPr>
        <w:t>al.</w:t>
      </w:r>
      <w:r w:rsidR="00936239">
        <w:rPr>
          <w:rFonts w:ascii="Times New Roman" w:hAnsi="Times New Roman"/>
        </w:rPr>
        <w:t xml:space="preserve"> (2000) found that the permeability can be expressed as a function of fracture pressure as such: </w:t>
      </w:r>
    </w:p>
    <w:p w:rsidR="00936239" w:rsidRDefault="00936239" w:rsidP="00936239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50"/>
      </w:tblGrid>
      <w:tr w:rsidR="00936239" w:rsidTr="00F94AD7">
        <w:tc>
          <w:tcPr>
            <w:tcW w:w="8330" w:type="dxa"/>
          </w:tcPr>
          <w:p w:rsidR="00936239" w:rsidRDefault="00936239" w:rsidP="00F94AD7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3ν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1-ν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3αE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1-ν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50" w:type="dxa"/>
            <w:vAlign w:val="center"/>
          </w:tcPr>
          <w:p w:rsidR="00936239" w:rsidRDefault="00936239" w:rsidP="00F94AD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</w:tr>
    </w:tbl>
    <w:p w:rsidR="00936239" w:rsidRDefault="00936239" w:rsidP="00936239">
      <w:pPr>
        <w:spacing w:after="0"/>
        <w:rPr>
          <w:rFonts w:ascii="Times New Roman" w:hAnsi="Times New Roman"/>
        </w:rPr>
      </w:pPr>
    </w:p>
    <w:p w:rsidR="00936239" w:rsidRDefault="00936239" w:rsidP="009362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Times New Roman" w:hAnsi="Times New Roman"/>
        </w:rPr>
        <w:t xml:space="preserve"> is the initial permeability, </w:t>
      </w:r>
      <m:oMath>
        <m:r>
          <w:rPr>
            <w:rFonts w:ascii="Cambria Math" w:hAnsi="Cambria Math"/>
          </w:rPr>
          <m:t>ν</m:t>
        </m:r>
      </m:oMath>
      <w:r>
        <w:rPr>
          <w:rFonts w:ascii="Times New Roman" w:hAnsi="Times New Roman"/>
        </w:rPr>
        <w:t xml:space="preserve"> is the Poisson’s ration of the formation, </w:t>
      </w:r>
      <m:oMath>
        <m:r>
          <w:rPr>
            <w:rFonts w:ascii="Cambria Math" w:hAnsi="Cambria Math"/>
          </w:rPr>
          <m:t>E</m:t>
        </m:r>
      </m:oMath>
      <w:r>
        <w:rPr>
          <w:rFonts w:ascii="Times New Roman" w:hAnsi="Times New Roman"/>
        </w:rPr>
        <w:t xml:space="preserve"> is the youngs modulus of the fracture, S is the change in </w:t>
      </w:r>
      <w:proofErr w:type="spellStart"/>
      <w:r>
        <w:rPr>
          <w:rFonts w:ascii="Times New Roman" w:hAnsi="Times New Roman"/>
        </w:rPr>
        <w:t>absorbate</w:t>
      </w:r>
      <w:proofErr w:type="spellEnd"/>
      <w:r>
        <w:rPr>
          <w:rFonts w:ascii="Times New Roman" w:hAnsi="Times New Roman"/>
        </w:rPr>
        <w:t xml:space="preserve"> mass, </w:t>
      </w:r>
      <w:r w:rsidR="002B03E7">
        <w:rPr>
          <w:rFonts w:ascii="Times New Roman" w:hAnsi="Times New Roman"/>
        </w:rPr>
        <w:t xml:space="preserve">and </w:t>
      </w:r>
      <m:oMath>
        <m:r>
          <w:rPr>
            <w:rFonts w:ascii="Cambria Math" w:hAnsi="Cambria Math"/>
          </w:rPr>
          <m:t>α</m:t>
        </m:r>
      </m:oMath>
      <w:r>
        <w:rPr>
          <w:rFonts w:ascii="Times New Roman" w:hAnsi="Times New Roman"/>
        </w:rPr>
        <w:t xml:space="preserve"> is the </w:t>
      </w:r>
      <w:r w:rsidR="00AE0DAA">
        <w:rPr>
          <w:rFonts w:ascii="Times New Roman" w:hAnsi="Times New Roman"/>
        </w:rPr>
        <w:t xml:space="preserve">volumetric swelling coefficient. </w:t>
      </w:r>
    </w:p>
    <w:p w:rsidR="003111E8" w:rsidRDefault="003111E8" w:rsidP="001C7D6D">
      <w:pPr>
        <w:spacing w:after="0"/>
        <w:rPr>
          <w:rFonts w:ascii="Times New Roman" w:hAnsi="Times New Roman"/>
        </w:rPr>
      </w:pPr>
    </w:p>
    <w:p w:rsidR="003111E8" w:rsidRPr="003111E8" w:rsidRDefault="00936239" w:rsidP="001C7D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CA72D0">
        <w:rPr>
          <w:rFonts w:ascii="Times New Roman" w:hAnsi="Times New Roman"/>
        </w:rPr>
        <w:t xml:space="preserve">he </w:t>
      </w:r>
      <w:r w:rsidR="00FE4050">
        <w:rPr>
          <w:rFonts w:ascii="Times New Roman" w:hAnsi="Times New Roman"/>
        </w:rPr>
        <w:t>exchange term between the two systems</w:t>
      </w:r>
      <w:proofErr w:type="gramStart"/>
      <w:r w:rsidR="00FE4050">
        <w:rPr>
          <w:rFonts w:ascii="Times New Roman" w:hAnsi="Times New Roman"/>
        </w:rPr>
        <w:t>,</w:t>
      </w:r>
      <w:r w:rsidR="00793A2C">
        <w:rPr>
          <w:rFonts w:ascii="Times New Roman" w:hAnsi="Times New Roma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FE4050">
        <w:rPr>
          <w:rFonts w:ascii="Times New Roman" w:hAnsi="Times New Roman"/>
        </w:rPr>
        <w:t xml:space="preserve">, is due </w:t>
      </w:r>
      <w:r w:rsidR="00CA72D0">
        <w:rPr>
          <w:rFonts w:ascii="Times New Roman" w:hAnsi="Times New Roman"/>
        </w:rPr>
        <w:t xml:space="preserve">predominantly </w:t>
      </w:r>
      <w:r>
        <w:rPr>
          <w:rFonts w:ascii="Times New Roman" w:hAnsi="Times New Roman"/>
        </w:rPr>
        <w:t>to the</w:t>
      </w:r>
      <w:r w:rsidR="00CA72D0">
        <w:rPr>
          <w:rFonts w:ascii="Times New Roman" w:hAnsi="Times New Roman"/>
        </w:rPr>
        <w:t xml:space="preserve"> gas </w:t>
      </w:r>
      <w:r w:rsidR="00B33E94">
        <w:rPr>
          <w:rFonts w:ascii="Times New Roman" w:hAnsi="Times New Roman"/>
        </w:rPr>
        <w:t>release</w:t>
      </w:r>
      <w:r w:rsidR="00CA72D0">
        <w:rPr>
          <w:rFonts w:ascii="Times New Roman" w:hAnsi="Times New Roman"/>
        </w:rPr>
        <w:t xml:space="preserve"> from the coal matrix into the fractures (Gilman et </w:t>
      </w:r>
      <w:r w:rsidR="00251572">
        <w:rPr>
          <w:rFonts w:ascii="Times New Roman" w:hAnsi="Times New Roman"/>
        </w:rPr>
        <w:t>al.</w:t>
      </w:r>
      <w:r w:rsidR="00CA72D0">
        <w:rPr>
          <w:rFonts w:ascii="Times New Roman" w:hAnsi="Times New Roman"/>
        </w:rPr>
        <w:t xml:space="preserve"> 2000). </w:t>
      </w:r>
      <w:r w:rsidR="00FE4050">
        <w:rPr>
          <w:rFonts w:ascii="Times New Roman" w:hAnsi="Times New Roman"/>
        </w:rPr>
        <w:t xml:space="preserve">Gas desorption </w:t>
      </w:r>
      <w:r w:rsidR="00B33E94">
        <w:rPr>
          <w:rFonts w:ascii="Times New Roman" w:hAnsi="Times New Roman"/>
        </w:rPr>
        <w:t xml:space="preserve">is described by a Knudsen diffusion profile (Rinker et </w:t>
      </w:r>
      <w:r w:rsidR="00251572">
        <w:rPr>
          <w:rFonts w:ascii="Times New Roman" w:hAnsi="Times New Roman"/>
        </w:rPr>
        <w:t>al.</w:t>
      </w:r>
      <w:r w:rsidR="00B33E94">
        <w:rPr>
          <w:rFonts w:ascii="Times New Roman" w:hAnsi="Times New Roman"/>
        </w:rPr>
        <w:t xml:space="preserve"> 1979) and can be approximated to be</w:t>
      </w:r>
      <w:r w:rsidR="004B4C66">
        <w:rPr>
          <w:rFonts w:ascii="Times New Roman" w:hAnsi="Times New Roman"/>
        </w:rPr>
        <w:t xml:space="preserve"> (</w:t>
      </w:r>
      <w:proofErr w:type="spellStart"/>
      <w:proofErr w:type="gramStart"/>
      <w:r w:rsidR="004B4C66">
        <w:rPr>
          <w:rFonts w:ascii="Times New Roman" w:hAnsi="Times New Roman"/>
        </w:rPr>
        <w:t>gilman</w:t>
      </w:r>
      <w:proofErr w:type="spellEnd"/>
      <w:proofErr w:type="gramEnd"/>
      <w:r w:rsidR="004B4C66">
        <w:rPr>
          <w:rFonts w:ascii="Times New Roman" w:hAnsi="Times New Roman"/>
        </w:rPr>
        <w:t xml:space="preserve"> et al. 2000)</w:t>
      </w:r>
    </w:p>
    <w:p w:rsidR="003111E8" w:rsidRDefault="003111E8" w:rsidP="001C7D6D">
      <w:pPr>
        <w:spacing w:after="0"/>
        <w:rPr>
          <w:rFonts w:ascii="Times New Roman" w:hAnsi="Times New Roman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50"/>
      </w:tblGrid>
      <w:tr w:rsidR="00B33E94" w:rsidTr="00B33E94">
        <w:tc>
          <w:tcPr>
            <w:tcW w:w="8330" w:type="dxa"/>
          </w:tcPr>
          <w:p w:rsidR="00B33E94" w:rsidRPr="00B33E94" w:rsidRDefault="00C057F5" w:rsidP="00FE4050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950" w:type="dxa"/>
            <w:vAlign w:val="center"/>
          </w:tcPr>
          <w:p w:rsidR="00B33E94" w:rsidRDefault="00936239" w:rsidP="00B33E9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</w:t>
            </w:r>
            <w:r w:rsidR="00B33E94">
              <w:rPr>
                <w:rFonts w:ascii="Times New Roman" w:hAnsi="Times New Roman"/>
              </w:rPr>
              <w:t>)</w:t>
            </w:r>
          </w:p>
        </w:tc>
      </w:tr>
    </w:tbl>
    <w:p w:rsidR="00090890" w:rsidRDefault="00090890" w:rsidP="00090890">
      <w:pPr>
        <w:spacing w:after="0"/>
        <w:rPr>
          <w:rFonts w:ascii="Times New Roman" w:hAnsi="Times New Roman"/>
        </w:rPr>
      </w:pPr>
    </w:p>
    <w:p w:rsidR="00B33E94" w:rsidRDefault="00090890" w:rsidP="000908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rFonts w:ascii="Times New Roman" w:hAnsi="Times New Roman"/>
        </w:rPr>
        <w:t xml:space="preserve"> is the effective diffusion coefficient, </w:t>
      </w:r>
      <m:oMath>
        <m:r>
          <w:rPr>
            <w:rFonts w:ascii="Cambria Math" w:hAnsi="Cambria Math"/>
          </w:rPr>
          <m:t>M</m:t>
        </m:r>
      </m:oMath>
      <w:r>
        <w:rPr>
          <w:rFonts w:ascii="Times New Roman" w:hAnsi="Times New Roman"/>
        </w:rPr>
        <w:t xml:space="preserve"> is the molar mass of methane, R is the universal gas constant, T is the absolute temperature, </w:t>
      </w:r>
      <m:oMath>
        <m:r>
          <w:rPr>
            <w:rFonts w:ascii="Cambria Math" w:hAnsi="Cambria Math"/>
          </w:rPr>
          <m:t>λ</m:t>
        </m:r>
      </m:oMath>
      <w:r>
        <w:rPr>
          <w:rFonts w:ascii="Times New Roman" w:hAnsi="Times New Roman"/>
        </w:rPr>
        <w:t xml:space="preserve"> is the aver</w:t>
      </w:r>
      <w:r w:rsidR="00FE4050">
        <w:rPr>
          <w:rFonts w:ascii="Times New Roman" w:hAnsi="Times New Roman"/>
        </w:rPr>
        <w:t xml:space="preserve">age distance between fractures,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FE4050">
        <w:rPr>
          <w:rFonts w:ascii="Times New Roman" w:hAnsi="Times New Roman"/>
        </w:rPr>
        <w:t xml:space="preserve"> is the pressure in the matrix system.</w:t>
      </w:r>
    </w:p>
    <w:p w:rsidR="00090890" w:rsidRDefault="00090890" w:rsidP="00090890">
      <w:pPr>
        <w:spacing w:after="0"/>
        <w:rPr>
          <w:rFonts w:ascii="Times New Roman" w:hAnsi="Times New Roman"/>
        </w:rPr>
      </w:pPr>
    </w:p>
    <w:p w:rsidR="00090890" w:rsidRDefault="00A35140" w:rsidP="000908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As expressed by Gilman</w:t>
      </w:r>
      <w:r w:rsidR="009360F5">
        <w:rPr>
          <w:rFonts w:ascii="Times New Roman" w:hAnsi="Times New Roman"/>
        </w:rPr>
        <w:t xml:space="preserve"> et </w:t>
      </w:r>
      <w:r w:rsidR="00251572">
        <w:rPr>
          <w:rFonts w:ascii="Times New Roman" w:hAnsi="Times New Roman"/>
        </w:rPr>
        <w:t>al.</w:t>
      </w:r>
      <w:r w:rsidR="009360F5">
        <w:rPr>
          <w:rFonts w:ascii="Times New Roman" w:hAnsi="Times New Roman"/>
        </w:rPr>
        <w:t xml:space="preserve"> (2000)</w:t>
      </w:r>
      <w:r>
        <w:rPr>
          <w:rFonts w:ascii="Times New Roman" w:hAnsi="Times New Roman"/>
        </w:rPr>
        <w:t>, the matrix storage term can be expressed through</w:t>
      </w:r>
      <w:r w:rsidR="00A2523B">
        <w:rPr>
          <w:rFonts w:ascii="Times New Roman" w:hAnsi="Times New Roman"/>
        </w:rPr>
        <w:t xml:space="preserve"> the </w:t>
      </w:r>
      <w:proofErr w:type="spellStart"/>
      <w:r w:rsidR="00A2523B">
        <w:rPr>
          <w:rFonts w:ascii="Times New Roman" w:hAnsi="Times New Roman"/>
        </w:rPr>
        <w:t>dubinin-astakhov</w:t>
      </w:r>
      <w:proofErr w:type="spellEnd"/>
      <w:r w:rsidR="00A2523B">
        <w:rPr>
          <w:rFonts w:ascii="Times New Roman" w:hAnsi="Times New Roman"/>
        </w:rPr>
        <w:t xml:space="preserve"> sorption model 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50"/>
      </w:tblGrid>
      <w:tr w:rsidR="00A35140" w:rsidTr="009360F5">
        <w:tc>
          <w:tcPr>
            <w:tcW w:w="8330" w:type="dxa"/>
          </w:tcPr>
          <w:p w:rsidR="00A35140" w:rsidRDefault="00C057F5" w:rsidP="00A2523B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RT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βE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950" w:type="dxa"/>
            <w:vAlign w:val="center"/>
          </w:tcPr>
          <w:p w:rsidR="00A35140" w:rsidRDefault="00936239" w:rsidP="009360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</w:t>
            </w:r>
            <w:r w:rsidR="009360F5">
              <w:rPr>
                <w:rFonts w:ascii="Times New Roman" w:hAnsi="Times New Roman"/>
              </w:rPr>
              <w:t>)</w:t>
            </w:r>
          </w:p>
        </w:tc>
      </w:tr>
    </w:tbl>
    <w:p w:rsidR="00A35140" w:rsidRDefault="00A35140" w:rsidP="00090890">
      <w:pPr>
        <w:spacing w:after="0"/>
        <w:rPr>
          <w:rFonts w:ascii="Times New Roman" w:hAnsi="Times New Roman"/>
        </w:rPr>
      </w:pPr>
    </w:p>
    <w:p w:rsidR="00E451C0" w:rsidRDefault="00E451C0" w:rsidP="00E451C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ascii="Times New Roman" w:hAnsi="Times New Roman"/>
        </w:rPr>
        <w:t xml:space="preserve">is the Langmuir volume, </w:t>
      </w:r>
      <w:r w:rsidR="00A2523B">
        <w:rPr>
          <w:rFonts w:ascii="Times New Roman" w:hAnsi="Times New Roman"/>
        </w:rPr>
        <w:t xml:space="preserve">R is the universal gas constant, </w:t>
      </w:r>
      <m:oMath>
        <m:r>
          <w:rPr>
            <w:rFonts w:ascii="Cambria Math" w:hAnsi="Cambria Math"/>
          </w:rPr>
          <m:t>T</m:t>
        </m:r>
      </m:oMath>
      <w:r w:rsidR="00A2523B">
        <w:rPr>
          <w:rFonts w:ascii="Times New Roman" w:hAnsi="Times New Roman"/>
        </w:rPr>
        <w:t xml:space="preserve"> is the reservoir temperature, </w:t>
      </w:r>
      <m:oMath>
        <m:r>
          <w:rPr>
            <w:rFonts w:ascii="Cambria Math" w:hAnsi="Cambria Math"/>
          </w:rPr>
          <m:t>β</m:t>
        </m:r>
      </m:oMath>
      <w:r w:rsidR="00A2523B">
        <w:rPr>
          <w:rFonts w:ascii="Times New Roman" w:hAnsi="Times New Roman"/>
        </w:rPr>
        <w:t xml:space="preserve"> is the sorbate affinity coefficient, </w:t>
      </w:r>
      <m:oMath>
        <m:r>
          <w:rPr>
            <w:rFonts w:ascii="Cambria Math" w:hAnsi="Cambria Math"/>
          </w:rPr>
          <m:t>E</m:t>
        </m:r>
      </m:oMath>
      <w:r w:rsidR="00A2523B">
        <w:rPr>
          <w:rFonts w:ascii="Times New Roman" w:hAnsi="Times New Roman"/>
        </w:rPr>
        <w:t xml:space="preserve"> is the characteristic energy [psi-ft</w:t>
      </w:r>
      <w:r w:rsidR="00A2523B">
        <w:rPr>
          <w:rFonts w:ascii="Times New Roman" w:hAnsi="Times New Roman"/>
          <w:vertAlign w:val="superscript"/>
        </w:rPr>
        <w:t>3</w:t>
      </w:r>
      <w:r w:rsidR="00A2523B">
        <w:rPr>
          <w:rFonts w:ascii="Times New Roman" w:hAnsi="Times New Roman"/>
        </w:rPr>
        <w:t>/</w:t>
      </w:r>
      <w:proofErr w:type="spellStart"/>
      <w:r w:rsidR="00A2523B">
        <w:rPr>
          <w:rFonts w:ascii="Times New Roman" w:hAnsi="Times New Roman"/>
        </w:rPr>
        <w:t>lb</w:t>
      </w:r>
      <w:proofErr w:type="spellEnd"/>
      <w:r w:rsidR="00A2523B">
        <w:rPr>
          <w:rFonts w:ascii="Times New Roman" w:hAnsi="Times New Roman"/>
        </w:rPr>
        <w:t>-mole]</w:t>
      </w:r>
      <w:r>
        <w:rPr>
          <w:rFonts w:ascii="Times New Roman" w:hAnsi="Times New Roman"/>
        </w:rPr>
        <w:t>,</w:t>
      </w:r>
      <w:r w:rsidR="00A2523B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A2523B">
        <w:rPr>
          <w:rFonts w:ascii="Times New Roman" w:hAnsi="Times New Roman"/>
        </w:rPr>
        <w:t>is the saturation vapour pressre [atm],</w:t>
      </w:r>
      <w:r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st</m:t>
            </m:r>
          </m:sub>
        </m:sSub>
      </m:oMath>
      <w:r>
        <w:rPr>
          <w:rFonts w:ascii="Times New Roman" w:hAnsi="Times New Roman"/>
        </w:rPr>
        <w:t xml:space="preserve"> is the standard pressure,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st</m:t>
            </m:r>
          </m:sub>
        </m:sSub>
      </m:oMath>
      <w:r>
        <w:rPr>
          <w:rFonts w:ascii="Times New Roman" w:hAnsi="Times New Roman"/>
        </w:rPr>
        <w:t xml:space="preserve">is the standard temperature. </w:t>
      </w:r>
      <w:r w:rsidR="0094503D">
        <w:rPr>
          <w:rFonts w:ascii="Times New Roman" w:hAnsi="Times New Roman"/>
        </w:rPr>
        <w:t>Note that</w:t>
      </w:r>
    </w:p>
    <w:p w:rsidR="0094503D" w:rsidRDefault="0094503D" w:rsidP="00E451C0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08"/>
      </w:tblGrid>
      <w:tr w:rsidR="0094503D" w:rsidTr="0094503D">
        <w:trPr>
          <w:jc w:val="center"/>
        </w:trPr>
        <w:tc>
          <w:tcPr>
            <w:tcW w:w="8472" w:type="dxa"/>
          </w:tcPr>
          <w:p w:rsidR="0094503D" w:rsidRPr="0094503D" w:rsidRDefault="0094503D" w:rsidP="00E451C0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08" w:type="dxa"/>
            <w:vAlign w:val="center"/>
          </w:tcPr>
          <w:p w:rsidR="0094503D" w:rsidRDefault="0094503D" w:rsidP="009450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(9)</w:t>
            </w:r>
          </w:p>
        </w:tc>
      </w:tr>
    </w:tbl>
    <w:p w:rsidR="0094503D" w:rsidRDefault="0094503D" w:rsidP="00E451C0">
      <w:pPr>
        <w:spacing w:after="0"/>
        <w:rPr>
          <w:rFonts w:ascii="Times New Roman" w:hAnsi="Times New Roman"/>
        </w:rPr>
      </w:pPr>
    </w:p>
    <w:p w:rsidR="0048715D" w:rsidRDefault="0048715D" w:rsidP="001C7D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Gas flow inside CSG formations sometimes occur at very high speeds. </w:t>
      </w:r>
      <w:r w:rsidR="002B03E7">
        <w:rPr>
          <w:rFonts w:ascii="Times New Roman" w:hAnsi="Times New Roman"/>
        </w:rPr>
        <w:t xml:space="preserve">These speeds can </w:t>
      </w:r>
      <w:proofErr w:type="gramStart"/>
      <w:r w:rsidR="002B03E7">
        <w:rPr>
          <w:rFonts w:ascii="Times New Roman" w:hAnsi="Times New Roman"/>
        </w:rPr>
        <w:t>deviate</w:t>
      </w:r>
      <w:proofErr w:type="gramEnd"/>
      <w:r w:rsidR="002B03E7">
        <w:rPr>
          <w:rFonts w:ascii="Times New Roman" w:hAnsi="Times New Roman"/>
        </w:rPr>
        <w:t xml:space="preserve"> fluid behaviour from Darcy’s law</w:t>
      </w:r>
      <w:r>
        <w:rPr>
          <w:rFonts w:ascii="Times New Roman" w:hAnsi="Times New Roman"/>
        </w:rPr>
        <w:t>. In their study, Wang et al. (2012) devised a mathematical equation describing the behaviour of such flow.</w:t>
      </w:r>
    </w:p>
    <w:p w:rsidR="0048715D" w:rsidRDefault="0048715D" w:rsidP="001C7D6D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092"/>
      </w:tblGrid>
      <w:tr w:rsidR="0048715D" w:rsidTr="0048715D">
        <w:tc>
          <w:tcPr>
            <w:tcW w:w="8188" w:type="dxa"/>
          </w:tcPr>
          <w:p w:rsidR="0048715D" w:rsidRPr="0048715D" w:rsidRDefault="0048715D" w:rsidP="001C7D6D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μ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μ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092" w:type="dxa"/>
            <w:vAlign w:val="center"/>
          </w:tcPr>
          <w:p w:rsidR="0048715D" w:rsidRDefault="0094503D" w:rsidP="004871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</w:t>
            </w:r>
            <w:r w:rsidR="0048715D">
              <w:rPr>
                <w:rFonts w:ascii="Times New Roman" w:hAnsi="Times New Roman"/>
              </w:rPr>
              <w:t>)</w:t>
            </w:r>
          </w:p>
        </w:tc>
      </w:tr>
    </w:tbl>
    <w:p w:rsidR="0048715D" w:rsidRDefault="0048715D" w:rsidP="001C7D6D">
      <w:pPr>
        <w:spacing w:after="0"/>
        <w:rPr>
          <w:rFonts w:ascii="Times New Roman" w:hAnsi="Times New Roman"/>
        </w:rPr>
      </w:pPr>
    </w:p>
    <w:p w:rsidR="00E57430" w:rsidRDefault="0048715D" w:rsidP="001C7D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rFonts w:ascii="Times New Roman" w:hAnsi="Times New Roman"/>
        </w:rPr>
        <w:t xml:space="preserve"> is regard</w:t>
      </w:r>
      <w:r w:rsidR="00F10E47">
        <w:rPr>
          <w:rFonts w:ascii="Times New Roman" w:hAnsi="Times New Roman"/>
        </w:rPr>
        <w:t xml:space="preserve">ed as the correction of density. </w:t>
      </w:r>
      <w:r>
        <w:rPr>
          <w:rFonts w:ascii="Times New Roman" w:hAnsi="Times New Roman"/>
        </w:rPr>
        <w:t>Taking equations 3-9</w:t>
      </w:r>
      <w:r w:rsidR="00E57430">
        <w:rPr>
          <w:rFonts w:ascii="Times New Roman" w:hAnsi="Times New Roman"/>
        </w:rPr>
        <w:t xml:space="preserve"> into equations 1-2 we end up with the two systems</w:t>
      </w:r>
    </w:p>
    <w:p w:rsidR="00EA7974" w:rsidRDefault="00EA7974" w:rsidP="001C7D6D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092"/>
      </w:tblGrid>
      <w:tr w:rsidR="00E57430" w:rsidTr="00EA7974">
        <w:tc>
          <w:tcPr>
            <w:tcW w:w="8188" w:type="dxa"/>
          </w:tcPr>
          <w:p w:rsidR="00E57430" w:rsidRDefault="00C057F5" w:rsidP="00E451C0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1092" w:type="dxa"/>
            <w:vAlign w:val="center"/>
          </w:tcPr>
          <w:p w:rsidR="00E57430" w:rsidRDefault="00EA7974" w:rsidP="009450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4503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E57430" w:rsidTr="00EA7974">
        <w:tc>
          <w:tcPr>
            <w:tcW w:w="8188" w:type="dxa"/>
          </w:tcPr>
          <w:p w:rsidR="00E57430" w:rsidRDefault="00C057F5" w:rsidP="00AE0DAA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st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exp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RT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βE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1092" w:type="dxa"/>
            <w:vAlign w:val="center"/>
          </w:tcPr>
          <w:p w:rsidR="00E57430" w:rsidRDefault="00A24D5E" w:rsidP="009450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4503D">
              <w:rPr>
                <w:rFonts w:ascii="Times New Roman" w:hAnsi="Times New Roman"/>
              </w:rPr>
              <w:t>12</w:t>
            </w:r>
            <w:r w:rsidR="00EA7974">
              <w:rPr>
                <w:rFonts w:ascii="Times New Roman" w:hAnsi="Times New Roman"/>
              </w:rPr>
              <w:t>)</w:t>
            </w:r>
          </w:p>
        </w:tc>
      </w:tr>
    </w:tbl>
    <w:p w:rsidR="00E57430" w:rsidRDefault="00E57430" w:rsidP="001C7D6D">
      <w:pPr>
        <w:spacing w:after="0"/>
        <w:rPr>
          <w:rFonts w:ascii="Times New Roman" w:hAnsi="Times New Roman"/>
        </w:rPr>
      </w:pPr>
    </w:p>
    <w:p w:rsidR="009360F5" w:rsidRDefault="00757E6A" w:rsidP="001C7D6D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Comsol’s</w:t>
      </w:r>
      <w:proofErr w:type="spellEnd"/>
      <w:r>
        <w:rPr>
          <w:rFonts w:ascii="Times New Roman" w:hAnsi="Times New Roman"/>
        </w:rPr>
        <w:t xml:space="preserve"> default equation is presented as such</w:t>
      </w:r>
    </w:p>
    <w:p w:rsidR="00757E6A" w:rsidRDefault="00757E6A" w:rsidP="001C7D6D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08"/>
      </w:tblGrid>
      <w:tr w:rsidR="00757E6A" w:rsidTr="00757E6A">
        <w:tc>
          <w:tcPr>
            <w:tcW w:w="8472" w:type="dxa"/>
          </w:tcPr>
          <w:p w:rsidR="00757E6A" w:rsidRPr="00757E6A" w:rsidRDefault="00C057F5" w:rsidP="001C7D6D">
            <w:pPr>
              <w:spacing w:after="0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S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η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∇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∇</m:t>
                        </m:r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808" w:type="dxa"/>
          </w:tcPr>
          <w:p w:rsidR="00757E6A" w:rsidRDefault="00757E6A" w:rsidP="009450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="0094503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757E6A" w:rsidRDefault="00757E6A" w:rsidP="001C7D6D">
      <w:pPr>
        <w:spacing w:after="0"/>
        <w:rPr>
          <w:rFonts w:ascii="Times New Roman" w:hAnsi="Times New Roman"/>
        </w:rPr>
      </w:pPr>
    </w:p>
    <w:p w:rsidR="00757E6A" w:rsidRDefault="00757E6A" w:rsidP="001C7D6D">
      <w:pPr>
        <w:spacing w:after="0"/>
        <w:rPr>
          <w:rFonts w:ascii="Times New Roman" w:hAnsi="Times New Roman"/>
        </w:rPr>
      </w:pPr>
    </w:p>
    <w:p w:rsidR="008B1D94" w:rsidRPr="00757E6A" w:rsidRDefault="0094503D" w:rsidP="009450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To fit equations 11 and 12</w:t>
      </w:r>
      <w:r w:rsidR="00757E6A">
        <w:rPr>
          <w:rFonts w:ascii="Times New Roman" w:hAnsi="Times New Roman"/>
        </w:rPr>
        <w:t xml:space="preserve"> to equation 12</w:t>
      </w:r>
      <w:r>
        <w:rPr>
          <w:rFonts w:ascii="Times New Roman" w:hAnsi="Times New Roman"/>
        </w:rPr>
        <w:t xml:space="preserve"> we need to simplify equation 12</w:t>
      </w:r>
      <w:r w:rsidR="00757E6A"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8B1D94" w:rsidRPr="00757E6A" w:rsidSect="002C5C44"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F5" w:rsidRDefault="00C057F5">
      <w:pPr>
        <w:spacing w:after="0"/>
      </w:pPr>
      <w:r>
        <w:separator/>
      </w:r>
    </w:p>
  </w:endnote>
  <w:endnote w:type="continuationSeparator" w:id="0">
    <w:p w:rsidR="00C057F5" w:rsidRDefault="00C057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F5" w:rsidRDefault="00C057F5">
      <w:pPr>
        <w:spacing w:after="0"/>
      </w:pPr>
      <w:r>
        <w:separator/>
      </w:r>
    </w:p>
  </w:footnote>
  <w:footnote w:type="continuationSeparator" w:id="0">
    <w:p w:rsidR="00C057F5" w:rsidRDefault="00C057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21DA"/>
    <w:multiLevelType w:val="hybridMultilevel"/>
    <w:tmpl w:val="675C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B4927"/>
    <w:multiLevelType w:val="hybridMultilevel"/>
    <w:tmpl w:val="4620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935FA"/>
    <w:multiLevelType w:val="hybridMultilevel"/>
    <w:tmpl w:val="D7DC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97512"/>
    <w:multiLevelType w:val="hybridMultilevel"/>
    <w:tmpl w:val="2F1008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A3EE7"/>
    <w:multiLevelType w:val="hybridMultilevel"/>
    <w:tmpl w:val="E004A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9569C"/>
    <w:multiLevelType w:val="hybridMultilevel"/>
    <w:tmpl w:val="B756D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306B9"/>
    <w:multiLevelType w:val="hybridMultilevel"/>
    <w:tmpl w:val="18C8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B4EB8"/>
    <w:multiLevelType w:val="hybridMultilevel"/>
    <w:tmpl w:val="727EA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wa_harvard_linguistic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ee2trtrgtza2merrtkp9p0zsedfdafxwefr&quot;&gt;FYP&lt;record-ids&gt;&lt;item&gt;3&lt;/item&gt;&lt;/record-ids&gt;&lt;/item&gt;&lt;/Libraries&gt;"/>
  </w:docVars>
  <w:rsids>
    <w:rsidRoot w:val="00042264"/>
    <w:rsid w:val="00005982"/>
    <w:rsid w:val="00022897"/>
    <w:rsid w:val="00034E87"/>
    <w:rsid w:val="00042264"/>
    <w:rsid w:val="00070E00"/>
    <w:rsid w:val="000719B9"/>
    <w:rsid w:val="000730CB"/>
    <w:rsid w:val="000758DA"/>
    <w:rsid w:val="000871A6"/>
    <w:rsid w:val="00090890"/>
    <w:rsid w:val="000A0884"/>
    <w:rsid w:val="000A207B"/>
    <w:rsid w:val="000B4A9B"/>
    <w:rsid w:val="000B723A"/>
    <w:rsid w:val="0010311D"/>
    <w:rsid w:val="001176B4"/>
    <w:rsid w:val="001337B5"/>
    <w:rsid w:val="001347E3"/>
    <w:rsid w:val="001512ED"/>
    <w:rsid w:val="001562F5"/>
    <w:rsid w:val="001573EA"/>
    <w:rsid w:val="001600F4"/>
    <w:rsid w:val="00163740"/>
    <w:rsid w:val="001930ED"/>
    <w:rsid w:val="001A0512"/>
    <w:rsid w:val="001C7D6D"/>
    <w:rsid w:val="0023531B"/>
    <w:rsid w:val="00235CC6"/>
    <w:rsid w:val="00251572"/>
    <w:rsid w:val="0026621E"/>
    <w:rsid w:val="002909A4"/>
    <w:rsid w:val="00290B88"/>
    <w:rsid w:val="00291627"/>
    <w:rsid w:val="002A6FA7"/>
    <w:rsid w:val="002B03E7"/>
    <w:rsid w:val="002B0BA0"/>
    <w:rsid w:val="002B4B5C"/>
    <w:rsid w:val="002C5C44"/>
    <w:rsid w:val="002F59E3"/>
    <w:rsid w:val="003079FC"/>
    <w:rsid w:val="003111E8"/>
    <w:rsid w:val="003121AB"/>
    <w:rsid w:val="003276FA"/>
    <w:rsid w:val="003413B9"/>
    <w:rsid w:val="00342D29"/>
    <w:rsid w:val="00356EF9"/>
    <w:rsid w:val="003812F1"/>
    <w:rsid w:val="00384EB3"/>
    <w:rsid w:val="003A7D34"/>
    <w:rsid w:val="003B6D5B"/>
    <w:rsid w:val="003C4020"/>
    <w:rsid w:val="003C75CF"/>
    <w:rsid w:val="003D59B4"/>
    <w:rsid w:val="003D7D1C"/>
    <w:rsid w:val="003E330B"/>
    <w:rsid w:val="003E7D40"/>
    <w:rsid w:val="00406FEE"/>
    <w:rsid w:val="00411F17"/>
    <w:rsid w:val="00443202"/>
    <w:rsid w:val="004561AE"/>
    <w:rsid w:val="00471251"/>
    <w:rsid w:val="00475E9C"/>
    <w:rsid w:val="0048715D"/>
    <w:rsid w:val="00487160"/>
    <w:rsid w:val="00492092"/>
    <w:rsid w:val="004920B0"/>
    <w:rsid w:val="00494152"/>
    <w:rsid w:val="004A0D9B"/>
    <w:rsid w:val="004B4C66"/>
    <w:rsid w:val="004C0C41"/>
    <w:rsid w:val="004C61B3"/>
    <w:rsid w:val="004F63D0"/>
    <w:rsid w:val="0050065E"/>
    <w:rsid w:val="00502125"/>
    <w:rsid w:val="00503286"/>
    <w:rsid w:val="00503339"/>
    <w:rsid w:val="00562E02"/>
    <w:rsid w:val="0058464B"/>
    <w:rsid w:val="005946AD"/>
    <w:rsid w:val="005D4AB8"/>
    <w:rsid w:val="005E33B2"/>
    <w:rsid w:val="0061273E"/>
    <w:rsid w:val="006176D8"/>
    <w:rsid w:val="00634CBA"/>
    <w:rsid w:val="00642E7B"/>
    <w:rsid w:val="00650463"/>
    <w:rsid w:val="00653949"/>
    <w:rsid w:val="00653B2B"/>
    <w:rsid w:val="00674372"/>
    <w:rsid w:val="006752D2"/>
    <w:rsid w:val="006D3D86"/>
    <w:rsid w:val="007234A6"/>
    <w:rsid w:val="00733A75"/>
    <w:rsid w:val="00735EC8"/>
    <w:rsid w:val="00757E6A"/>
    <w:rsid w:val="00781835"/>
    <w:rsid w:val="00793A2C"/>
    <w:rsid w:val="00796016"/>
    <w:rsid w:val="007C60D0"/>
    <w:rsid w:val="007E1044"/>
    <w:rsid w:val="007F2C78"/>
    <w:rsid w:val="008208E9"/>
    <w:rsid w:val="00842D74"/>
    <w:rsid w:val="008455A7"/>
    <w:rsid w:val="00855A11"/>
    <w:rsid w:val="00861ABD"/>
    <w:rsid w:val="00862626"/>
    <w:rsid w:val="00864E16"/>
    <w:rsid w:val="008A1607"/>
    <w:rsid w:val="008A600A"/>
    <w:rsid w:val="008B0446"/>
    <w:rsid w:val="008B1D94"/>
    <w:rsid w:val="008B6789"/>
    <w:rsid w:val="008C2E65"/>
    <w:rsid w:val="008C535F"/>
    <w:rsid w:val="008C554A"/>
    <w:rsid w:val="008D4A34"/>
    <w:rsid w:val="008F3122"/>
    <w:rsid w:val="00911E79"/>
    <w:rsid w:val="009152A9"/>
    <w:rsid w:val="009360F5"/>
    <w:rsid w:val="00936239"/>
    <w:rsid w:val="0094503D"/>
    <w:rsid w:val="009A4334"/>
    <w:rsid w:val="009A5F80"/>
    <w:rsid w:val="009B67F9"/>
    <w:rsid w:val="009D3DFE"/>
    <w:rsid w:val="009E521C"/>
    <w:rsid w:val="009F1434"/>
    <w:rsid w:val="00A24D5E"/>
    <w:rsid w:val="00A24EC9"/>
    <w:rsid w:val="00A2523B"/>
    <w:rsid w:val="00A35140"/>
    <w:rsid w:val="00A52F1D"/>
    <w:rsid w:val="00A5495E"/>
    <w:rsid w:val="00A656C9"/>
    <w:rsid w:val="00A869B4"/>
    <w:rsid w:val="00AC3591"/>
    <w:rsid w:val="00AE0DAA"/>
    <w:rsid w:val="00B107A4"/>
    <w:rsid w:val="00B11FFF"/>
    <w:rsid w:val="00B2534C"/>
    <w:rsid w:val="00B33E94"/>
    <w:rsid w:val="00B468AD"/>
    <w:rsid w:val="00B51056"/>
    <w:rsid w:val="00B60BD1"/>
    <w:rsid w:val="00B61190"/>
    <w:rsid w:val="00B64B3E"/>
    <w:rsid w:val="00B8715F"/>
    <w:rsid w:val="00B91D9E"/>
    <w:rsid w:val="00BD3E4C"/>
    <w:rsid w:val="00BD4CAD"/>
    <w:rsid w:val="00BF222F"/>
    <w:rsid w:val="00C05128"/>
    <w:rsid w:val="00C057F5"/>
    <w:rsid w:val="00C36A3B"/>
    <w:rsid w:val="00C57481"/>
    <w:rsid w:val="00C7290E"/>
    <w:rsid w:val="00C83741"/>
    <w:rsid w:val="00C90F77"/>
    <w:rsid w:val="00CA72D0"/>
    <w:rsid w:val="00CF61A2"/>
    <w:rsid w:val="00CF61ED"/>
    <w:rsid w:val="00D01FD9"/>
    <w:rsid w:val="00D470B8"/>
    <w:rsid w:val="00D64A06"/>
    <w:rsid w:val="00D65B97"/>
    <w:rsid w:val="00D85939"/>
    <w:rsid w:val="00DA0FDD"/>
    <w:rsid w:val="00DA2139"/>
    <w:rsid w:val="00DC0EC4"/>
    <w:rsid w:val="00DF7958"/>
    <w:rsid w:val="00E17904"/>
    <w:rsid w:val="00E34340"/>
    <w:rsid w:val="00E451C0"/>
    <w:rsid w:val="00E57430"/>
    <w:rsid w:val="00EA7974"/>
    <w:rsid w:val="00EB3AA5"/>
    <w:rsid w:val="00EE28F6"/>
    <w:rsid w:val="00EF06C7"/>
    <w:rsid w:val="00F10E47"/>
    <w:rsid w:val="00F31894"/>
    <w:rsid w:val="00F35265"/>
    <w:rsid w:val="00F46431"/>
    <w:rsid w:val="00F572BA"/>
    <w:rsid w:val="00F64AA6"/>
    <w:rsid w:val="00F94AD7"/>
    <w:rsid w:val="00FB565B"/>
    <w:rsid w:val="00FC2C70"/>
    <w:rsid w:val="00FC6820"/>
    <w:rsid w:val="00FE40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E3F3F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6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26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4226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264"/>
    <w:rPr>
      <w:lang w:val="en-AU"/>
    </w:rPr>
  </w:style>
  <w:style w:type="paragraph" w:customStyle="1" w:styleId="PaperReferences">
    <w:name w:val="Paper References"/>
    <w:basedOn w:val="Normal"/>
    <w:rsid w:val="00CD29DF"/>
    <w:pPr>
      <w:spacing w:after="0"/>
      <w:jc w:val="both"/>
    </w:pPr>
    <w:rPr>
      <w:rFonts w:ascii="Times" w:eastAsia="Times" w:hAnsi="Times"/>
      <w:noProof/>
    </w:rPr>
  </w:style>
  <w:style w:type="character" w:styleId="PageNumber">
    <w:name w:val="page number"/>
    <w:basedOn w:val="DefaultParagraphFont"/>
    <w:uiPriority w:val="99"/>
    <w:semiHidden/>
    <w:unhideWhenUsed/>
    <w:rsid w:val="006036C0"/>
  </w:style>
  <w:style w:type="paragraph" w:customStyle="1" w:styleId="ColorfulList-Accent11">
    <w:name w:val="Colorful List - Accent 11"/>
    <w:basedOn w:val="Normal"/>
    <w:uiPriority w:val="34"/>
    <w:qFormat/>
    <w:rsid w:val="0059721A"/>
    <w:pPr>
      <w:ind w:left="720"/>
      <w:contextualSpacing/>
    </w:pPr>
  </w:style>
  <w:style w:type="paragraph" w:customStyle="1" w:styleId="Normal11">
    <w:name w:val="Normal 11"/>
    <w:basedOn w:val="Normal"/>
    <w:rsid w:val="000A56E0"/>
    <w:pPr>
      <w:widowControl w:val="0"/>
      <w:spacing w:after="0" w:line="240" w:lineRule="atLeast"/>
      <w:jc w:val="both"/>
    </w:pPr>
    <w:rPr>
      <w:rFonts w:ascii="Times New Roman" w:eastAsia="Times New Roman" w:hAnsi="Times New Roman"/>
      <w:snapToGrid w:val="0"/>
      <w:sz w:val="22"/>
      <w:szCs w:val="20"/>
    </w:rPr>
  </w:style>
  <w:style w:type="paragraph" w:styleId="FootnoteText">
    <w:name w:val="footnote text"/>
    <w:basedOn w:val="Normal"/>
    <w:link w:val="FootnoteTextChar"/>
    <w:semiHidden/>
    <w:rsid w:val="000A56E0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56E0"/>
    <w:rPr>
      <w:rFonts w:ascii="Times New Roman" w:eastAsia="Times New Roman" w:hAnsi="Times New Roman"/>
      <w:lang w:val="en-AU"/>
    </w:rPr>
  </w:style>
  <w:style w:type="character" w:styleId="FootnoteReference">
    <w:name w:val="footnote reference"/>
    <w:basedOn w:val="DefaultParagraphFont"/>
    <w:semiHidden/>
    <w:rsid w:val="000A56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A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1C7D6D"/>
    <w:pPr>
      <w:ind w:left="720"/>
      <w:contextualSpacing/>
    </w:pPr>
  </w:style>
  <w:style w:type="table" w:styleId="TableGrid">
    <w:name w:val="Table Grid"/>
    <w:basedOn w:val="TableNormal"/>
    <w:uiPriority w:val="59"/>
    <w:rsid w:val="00151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70"/>
    <w:rsid w:val="003E7D4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46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AD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64E16"/>
    <w:rPr>
      <w:color w:val="0000FF" w:themeColor="hyperlink"/>
      <w:u w:val="single"/>
    </w:rPr>
  </w:style>
  <w:style w:type="paragraph" w:styleId="Revision">
    <w:name w:val="Revision"/>
    <w:hidden/>
    <w:uiPriority w:val="71"/>
    <w:rsid w:val="00B91D9E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6504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E3F3F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6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26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4226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264"/>
    <w:rPr>
      <w:lang w:val="en-AU"/>
    </w:rPr>
  </w:style>
  <w:style w:type="paragraph" w:customStyle="1" w:styleId="PaperReferences">
    <w:name w:val="Paper References"/>
    <w:basedOn w:val="Normal"/>
    <w:rsid w:val="00CD29DF"/>
    <w:pPr>
      <w:spacing w:after="0"/>
      <w:jc w:val="both"/>
    </w:pPr>
    <w:rPr>
      <w:rFonts w:ascii="Times" w:eastAsia="Times" w:hAnsi="Times"/>
      <w:noProof/>
    </w:rPr>
  </w:style>
  <w:style w:type="character" w:styleId="PageNumber">
    <w:name w:val="page number"/>
    <w:basedOn w:val="DefaultParagraphFont"/>
    <w:uiPriority w:val="99"/>
    <w:semiHidden/>
    <w:unhideWhenUsed/>
    <w:rsid w:val="006036C0"/>
  </w:style>
  <w:style w:type="paragraph" w:customStyle="1" w:styleId="ColorfulList-Accent11">
    <w:name w:val="Colorful List - Accent 11"/>
    <w:basedOn w:val="Normal"/>
    <w:uiPriority w:val="34"/>
    <w:qFormat/>
    <w:rsid w:val="0059721A"/>
    <w:pPr>
      <w:ind w:left="720"/>
      <w:contextualSpacing/>
    </w:pPr>
  </w:style>
  <w:style w:type="paragraph" w:customStyle="1" w:styleId="Normal11">
    <w:name w:val="Normal 11"/>
    <w:basedOn w:val="Normal"/>
    <w:rsid w:val="000A56E0"/>
    <w:pPr>
      <w:widowControl w:val="0"/>
      <w:spacing w:after="0" w:line="240" w:lineRule="atLeast"/>
      <w:jc w:val="both"/>
    </w:pPr>
    <w:rPr>
      <w:rFonts w:ascii="Times New Roman" w:eastAsia="Times New Roman" w:hAnsi="Times New Roman"/>
      <w:snapToGrid w:val="0"/>
      <w:sz w:val="22"/>
      <w:szCs w:val="20"/>
    </w:rPr>
  </w:style>
  <w:style w:type="paragraph" w:styleId="FootnoteText">
    <w:name w:val="footnote text"/>
    <w:basedOn w:val="Normal"/>
    <w:link w:val="FootnoteTextChar"/>
    <w:semiHidden/>
    <w:rsid w:val="000A56E0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56E0"/>
    <w:rPr>
      <w:rFonts w:ascii="Times New Roman" w:eastAsia="Times New Roman" w:hAnsi="Times New Roman"/>
      <w:lang w:val="en-AU"/>
    </w:rPr>
  </w:style>
  <w:style w:type="character" w:styleId="FootnoteReference">
    <w:name w:val="footnote reference"/>
    <w:basedOn w:val="DefaultParagraphFont"/>
    <w:semiHidden/>
    <w:rsid w:val="000A56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A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1C7D6D"/>
    <w:pPr>
      <w:ind w:left="720"/>
      <w:contextualSpacing/>
    </w:pPr>
  </w:style>
  <w:style w:type="table" w:styleId="TableGrid">
    <w:name w:val="Table Grid"/>
    <w:basedOn w:val="TableNormal"/>
    <w:uiPriority w:val="59"/>
    <w:rsid w:val="00151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70"/>
    <w:rsid w:val="003E7D4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46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AD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64E16"/>
    <w:rPr>
      <w:color w:val="0000FF" w:themeColor="hyperlink"/>
      <w:u w:val="single"/>
    </w:rPr>
  </w:style>
  <w:style w:type="paragraph" w:styleId="Revision">
    <w:name w:val="Revision"/>
    <w:hidden/>
    <w:uiPriority w:val="71"/>
    <w:rsid w:val="00B91D9E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650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F873-718E-4311-A265-622A56EC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Australia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Javier Bracho Franklin</dc:creator>
  <cp:lastModifiedBy>Andres Javier Bracho Franklin</cp:lastModifiedBy>
  <cp:revision>2</cp:revision>
  <cp:lastPrinted>2012-12-13T05:29:00Z</cp:lastPrinted>
  <dcterms:created xsi:type="dcterms:W3CDTF">2013-01-29T10:07:00Z</dcterms:created>
  <dcterms:modified xsi:type="dcterms:W3CDTF">2013-01-29T10:07:00Z</dcterms:modified>
</cp:coreProperties>
</file>